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3288CD" w14:textId="5D52D90F" w:rsidR="00A20674" w:rsidRPr="000F16AD" w:rsidRDefault="00A20674" w:rsidP="00A20674">
      <w:pPr>
        <w:jc w:val="center"/>
        <w:rPr>
          <w:b/>
          <w:sz w:val="28"/>
          <w:szCs w:val="28"/>
          <w:u w:val="single"/>
        </w:rPr>
      </w:pPr>
      <w:r w:rsidRPr="000F16AD">
        <w:rPr>
          <w:b/>
          <w:sz w:val="28"/>
          <w:szCs w:val="28"/>
          <w:u w:val="single"/>
        </w:rPr>
        <w:t xml:space="preserve">Cracker Barrel Express </w:t>
      </w:r>
      <w:r w:rsidR="00D05A44">
        <w:rPr>
          <w:b/>
          <w:sz w:val="28"/>
          <w:szCs w:val="28"/>
          <w:u w:val="single"/>
        </w:rPr>
        <w:t>Research</w:t>
      </w:r>
      <w:bookmarkStart w:id="0" w:name="_GoBack"/>
      <w:bookmarkEnd w:id="0"/>
    </w:p>
    <w:p w14:paraId="2F8A7453" w14:textId="77777777" w:rsidR="00A20674" w:rsidRDefault="00A20674" w:rsidP="00A20674">
      <w:pPr>
        <w:rPr>
          <w:u w:val="single"/>
        </w:rPr>
      </w:pPr>
    </w:p>
    <w:p w14:paraId="1BA4580D" w14:textId="69B71416" w:rsidR="00A20674" w:rsidRPr="00220F07" w:rsidRDefault="00A20674" w:rsidP="00A20674">
      <w:pPr>
        <w:rPr>
          <w:b/>
        </w:rPr>
      </w:pPr>
      <w:r w:rsidRPr="00220F07">
        <w:rPr>
          <w:b/>
          <w:u w:val="single"/>
        </w:rPr>
        <w:t>Scenario Description</w:t>
      </w:r>
    </w:p>
    <w:p w14:paraId="0AD2B175" w14:textId="77777777" w:rsidR="00A20674" w:rsidRPr="00A20674" w:rsidRDefault="00A20674" w:rsidP="00A20674">
      <w:r w:rsidRPr="00A20674">
        <w:t xml:space="preserve">Cracker Barrel’s revenues have increased by an average of 3% in the past 5 years and continue to grow at a projected average rate of 2.5%, having grown their revenue to over 3 Billion dollars in the 2018 FY. While the company’s outlook is strong, core business revenue growth is strongly driven by an expansion of stores, rather than by an increase in guest traffic. In fact, the company saw a 1.9% decrease in guest traffic in 2018 (2018 annual report). As the generations that represent the bulk of Cracker Barrel’s customers age, we anticipate a continued decline in guest traffic. </w:t>
      </w:r>
    </w:p>
    <w:p w14:paraId="4FEE9AF6" w14:textId="77777777" w:rsidR="00A20674" w:rsidRPr="00A20674" w:rsidRDefault="00A20674" w:rsidP="00A20674">
      <w:r w:rsidRPr="00A20674">
        <w:t xml:space="preserve">While the company has introduced the Holler &amp; Dash Brand for a fast-casual service marketed towards younger generations, we believe that the core business can still be expanded to younger generations in the same way and therefore build the Cracker Barrel Old Country Store Brand through express-style home cooking on college campuses. </w:t>
      </w:r>
    </w:p>
    <w:p w14:paraId="0FBBB7D2" w14:textId="77777777" w:rsidR="00A20674" w:rsidRPr="00220F07" w:rsidRDefault="00A20674" w:rsidP="00A20674">
      <w:pPr>
        <w:rPr>
          <w:b/>
        </w:rPr>
      </w:pPr>
      <w:r w:rsidRPr="00220F07">
        <w:rPr>
          <w:b/>
          <w:u w:val="single"/>
        </w:rPr>
        <w:t>Opening</w:t>
      </w:r>
    </w:p>
    <w:p w14:paraId="2F87AEB5" w14:textId="77777777" w:rsidR="00A20674" w:rsidRPr="00A20674" w:rsidRDefault="00A20674" w:rsidP="00A20674">
      <w:r w:rsidRPr="00A20674">
        <w:t xml:space="preserve">We expect that contract negotiations with companies such as Aramark may take up to a year to open 5 locations, with the first of them opening midway through 2020 in time for the Fall semester. Being that the capital outlay for 5 express stores is expected to be $1.075M, this represents &lt;1% of the company’s cash position, making this a low-risk investment. </w:t>
      </w:r>
    </w:p>
    <w:p w14:paraId="0346312C" w14:textId="77777777" w:rsidR="00A20674" w:rsidRPr="00220F07" w:rsidRDefault="00A20674" w:rsidP="00A20674">
      <w:pPr>
        <w:rPr>
          <w:b/>
        </w:rPr>
      </w:pPr>
      <w:r w:rsidRPr="00220F07">
        <w:rPr>
          <w:b/>
          <w:u w:val="single"/>
        </w:rPr>
        <w:t>Pricing</w:t>
      </w:r>
    </w:p>
    <w:p w14:paraId="36D9092D" w14:textId="77777777" w:rsidR="00A20674" w:rsidRPr="00A20674" w:rsidRDefault="00A20674" w:rsidP="00A20674">
      <w:r w:rsidRPr="00A20674">
        <w:t>The express stores have been modeled with MTSU in mind, or schools with around 20k or more students. MTSU’s 2019 meal equivalency dining services program requires that meals average $7 for students. We plan that the menu would be scaled down for faster service, allowing for this $7 meal average. Old Country Store meals currently averaged $10.48 in 2018.</w:t>
      </w:r>
    </w:p>
    <w:p w14:paraId="3F41D2ED" w14:textId="77777777" w:rsidR="00A20674" w:rsidRPr="00220F07" w:rsidRDefault="00A20674" w:rsidP="00A20674">
      <w:pPr>
        <w:rPr>
          <w:b/>
        </w:rPr>
      </w:pPr>
      <w:r w:rsidRPr="00220F07">
        <w:rPr>
          <w:b/>
          <w:u w:val="single"/>
        </w:rPr>
        <w:t>Revenue</w:t>
      </w:r>
    </w:p>
    <w:p w14:paraId="5B4594D4" w14:textId="7D1E55C5" w:rsidR="00A20674" w:rsidRPr="00A20674" w:rsidRDefault="00A20674" w:rsidP="00A20674">
      <w:r w:rsidRPr="00A20674">
        <w:t>Revenue estimates as an annual total have been cross checked with comparable stores such as Panera Bread, Noodles &amp; Co, and Einstein’s Bagels, and are conservative estimates in the projected scenario. This was further cross checked by a Jimmy John’s store owner, who reports comparable revenues of around $1 million per store. We anticipate $980k per store revenues grown at the pro-form</w:t>
      </w:r>
      <w:r w:rsidR="00072216">
        <w:t xml:space="preserve">a 5 year </w:t>
      </w:r>
      <w:r w:rsidRPr="00A20674">
        <w:t>average of 2.5%. In the first year, this totals $2.45M for a total of 5 stores opening halfway through the year. After initial negotiations, we expect that it will take less time to open new stores with Aramark contracted universities, and anticipate 5 more opening by 2021, and so forth.</w:t>
      </w:r>
    </w:p>
    <w:p w14:paraId="176B74D7" w14:textId="77777777" w:rsidR="00A20674" w:rsidRPr="00A20674" w:rsidRDefault="00A20674" w:rsidP="00A20674">
      <w:r w:rsidRPr="00A20674">
        <w:t xml:space="preserve">In the best-case scenario, revenues are projected based on Student Union Guest traffic purchasing 25% of on-campus students purchasing 1 meal per day and 10% of off-campus students. This scenario reflects a high amount of interest in the express stores and yields $1.6M in per store revenue, with $4.1M in the first year opening half way through the year. </w:t>
      </w:r>
    </w:p>
    <w:p w14:paraId="6B891F94" w14:textId="5F911E4D" w:rsidR="00A20674" w:rsidRPr="00A20674" w:rsidRDefault="00A20674" w:rsidP="00A20674">
      <w:r w:rsidRPr="00A20674">
        <w:t> </w:t>
      </w:r>
      <w:r w:rsidR="00072216">
        <w:tab/>
      </w:r>
      <w:r w:rsidRPr="00A20674">
        <w:t xml:space="preserve">In the worst-case scenario, revenues reflect a pervasive disinterest in the express store brand, capturing only 1% of guest traffic and declining revenue of 2.5%. In this scenario, given that space occupancy and CAM is paid via commission based contracts with Aramark, we expect that poor performance over 2 years would lead to a loss in the store’s contract, losing the contract for all 5 initial stores by the end of 2021 and resulting in a net loss of $760k, not including capital expenditures of $750k. </w:t>
      </w:r>
    </w:p>
    <w:p w14:paraId="7B70090C" w14:textId="55258459" w:rsidR="00A20674" w:rsidRPr="00072216" w:rsidRDefault="00A20674" w:rsidP="00A20674">
      <w:r w:rsidRPr="00A20674">
        <w:t> </w:t>
      </w:r>
      <w:r w:rsidRPr="00220F07">
        <w:rPr>
          <w:b/>
          <w:u w:val="single"/>
        </w:rPr>
        <w:t>COGS, SG&amp;A, Labor</w:t>
      </w:r>
    </w:p>
    <w:p w14:paraId="1418074D" w14:textId="77777777" w:rsidR="00A20674" w:rsidRPr="00A20674" w:rsidRDefault="00A20674" w:rsidP="00A20674">
      <w:r w:rsidRPr="00A20674">
        <w:t>In all scenarios, COGS, SG&amp;A, and Labor are computed as % of sales, using Cracker Barrel’s 2018 annual report figures. While we expect COGS to be a lower rate due to the scaled down menu, the contractual obligations with Aramark will likely wash these savings. As a result, we opted for the 2018 rate of 25.7%, which has remained quite stable over the last 5 years.</w:t>
      </w:r>
    </w:p>
    <w:p w14:paraId="78DCC4D9" w14:textId="77777777" w:rsidR="00A20674" w:rsidRPr="00A20674" w:rsidRDefault="00A20674" w:rsidP="00A20674">
      <w:r w:rsidRPr="00A20674">
        <w:t xml:space="preserve">For SG&amp;A, these costs have been assumed in the same way, but are applied differently in the build-up and the financial model. For simplification of added costs for operational change, pro forma SG&amp;A costs are assumed as the baseline % of revenue, while build-up costs use the 4.7% rate from the 2018 annual report, which is net of lease and depreciation costs, so as not to cause duplication. </w:t>
      </w:r>
    </w:p>
    <w:p w14:paraId="4878BBA8" w14:textId="77777777" w:rsidR="00A20674" w:rsidRPr="00A20674" w:rsidRDefault="00A20674" w:rsidP="00A20674">
      <w:r w:rsidRPr="00A20674">
        <w:t xml:space="preserve">For Labor, the % of sales is 34.8% (2018 annual report). This is reflected in both the pro forma years and the build-up via increases in revenue. </w:t>
      </w:r>
    </w:p>
    <w:p w14:paraId="5AC3FB90" w14:textId="77777777" w:rsidR="00A20674" w:rsidRPr="00220F07" w:rsidRDefault="00A20674" w:rsidP="00A20674">
      <w:pPr>
        <w:rPr>
          <w:b/>
        </w:rPr>
      </w:pPr>
      <w:r w:rsidRPr="00220F07">
        <w:rPr>
          <w:b/>
          <w:u w:val="single"/>
        </w:rPr>
        <w:lastRenderedPageBreak/>
        <w:t>Startup costs</w:t>
      </w:r>
    </w:p>
    <w:p w14:paraId="2B96B3DB" w14:textId="77777777" w:rsidR="00A20674" w:rsidRPr="00A20674" w:rsidRDefault="00A20674" w:rsidP="00A20674">
      <w:r w:rsidRPr="00A20674">
        <w:t xml:space="preserve">Each store is estimated to have startup costs of $215k. This is on the low end of </w:t>
      </w:r>
      <w:proofErr w:type="spellStart"/>
      <w:r w:rsidRPr="00A20674">
        <w:t>start up</w:t>
      </w:r>
      <w:proofErr w:type="spellEnd"/>
      <w:r w:rsidRPr="00A20674">
        <w:t xml:space="preserve"> costs for a small fast casual store for several reasons. Most university food court spaces will have already been built out for kitchen use. It is assumed that vent hoods and a kitchen layout with a sales counter is already a part of the space’s design. This serves to lower initial build out costs. Furthermore, these spaces do not require a dining room, as a seating area is already in place for all restaurants. The anticipated costs consist of office equipment, opening inventory and supplies, training expense, and insurance. These costs total $6k, $45k, and $11.5k respectively. The starting inventory and supplies is on the low end due to a scaled down menu and Cracker Barrel’s established resources. The training expenses are on the high end for 9 initial employees for a conservative estimate. Insurance expenses are on the low end due to established resources. Lastly, kitchen and cooking equipment is estimated on the high end at $150k and office equipment for $2.5k. All costs are based on the initial costs for opening a Jimmy John’s, as these are selected cost estimates reported for opening a store between 1100-1800 square feet. These costs have been cross checked by a contact who owns 3 Jimmy John’s stores, John Parcells. This total of $215k comes within range of Jill Golder’s low-end estimate of $200k (Cracker Barrel CFO). </w:t>
      </w:r>
    </w:p>
    <w:p w14:paraId="4F7EABA7" w14:textId="77777777" w:rsidR="00A20674" w:rsidRPr="00220F07" w:rsidRDefault="00A20674" w:rsidP="00A20674">
      <w:pPr>
        <w:rPr>
          <w:b/>
        </w:rPr>
      </w:pPr>
      <w:r w:rsidRPr="00220F07">
        <w:rPr>
          <w:b/>
          <w:u w:val="single"/>
        </w:rPr>
        <w:t>CAPEX</w:t>
      </w:r>
    </w:p>
    <w:p w14:paraId="498C105E" w14:textId="77777777" w:rsidR="00A20674" w:rsidRPr="00A20674" w:rsidRDefault="00A20674" w:rsidP="00A20674">
      <w:r w:rsidRPr="00A20674">
        <w:t>As per the startup costs section, the best and projected scenarios each total a $750k ($150k*5) capital outlay in year 1 of new operations (2020). The 2018 annual report states that a 2-10 year useful life is used for restaurant equipment, and that straight line and double declining methods are used for depreciation. We opted for a 10 year straight line method for simplicity. This results in $75k annual depreciation for 5 stores. As university dining contracts are commission based, we do not anticipate any capital lease requirements.</w:t>
      </w:r>
    </w:p>
    <w:p w14:paraId="08443559" w14:textId="37472BF5" w:rsidR="00A20674" w:rsidRPr="00CB3259" w:rsidRDefault="00A20674" w:rsidP="00A20674">
      <w:r w:rsidRPr="00A20674">
        <w:t> </w:t>
      </w:r>
      <w:r w:rsidRPr="00220F07">
        <w:rPr>
          <w:b/>
          <w:u w:val="single"/>
        </w:rPr>
        <w:t>Express Store EBIT</w:t>
      </w:r>
    </w:p>
    <w:p w14:paraId="3BBF46C3" w14:textId="5984AA83" w:rsidR="00A20674" w:rsidRPr="00A20674" w:rsidRDefault="00A20674" w:rsidP="00A20674">
      <w:r w:rsidRPr="00A20674">
        <w:t xml:space="preserve">Year 1 </w:t>
      </w:r>
      <w:r w:rsidR="00E55FEE">
        <w:t xml:space="preserve">(2019) </w:t>
      </w:r>
      <w:r w:rsidRPr="00A20674">
        <w:t xml:space="preserve">represents the first year of express store operations. This year reflects profits for operating only half of the year, as opening is not expected to be possible before summer 2020. </w:t>
      </w:r>
    </w:p>
    <w:p w14:paraId="1DDF7EB2" w14:textId="39137AC9" w:rsidR="00A20674" w:rsidRPr="00A20674" w:rsidRDefault="00A20674" w:rsidP="00A20674">
      <w:r w:rsidRPr="00A20674">
        <w:t xml:space="preserve">Year 2 </w:t>
      </w:r>
      <w:r w:rsidR="00E55FEE">
        <w:t xml:space="preserve">(2020) </w:t>
      </w:r>
      <w:r w:rsidRPr="00A20674">
        <w:t>represents a full year of operations with 10 stores for projecte</w:t>
      </w:r>
      <w:r w:rsidR="00AC7B1D">
        <w:t>d and best case scenarios, and one</w:t>
      </w:r>
      <w:r w:rsidRPr="00A20674">
        <w:t xml:space="preserve"> full year of operations for 5 stores in worst case. </w:t>
      </w:r>
    </w:p>
    <w:p w14:paraId="220C3CC5" w14:textId="77777777" w:rsidR="00A20674" w:rsidRPr="00072216" w:rsidRDefault="00A20674" w:rsidP="00A20674">
      <w:pPr>
        <w:rPr>
          <w:b/>
        </w:rPr>
      </w:pPr>
      <w:r w:rsidRPr="00072216">
        <w:rPr>
          <w:b/>
          <w:u w:val="single"/>
        </w:rPr>
        <w:t>Influence on Stock Price</w:t>
      </w:r>
    </w:p>
    <w:p w14:paraId="4A841DB1" w14:textId="53F1CE55" w:rsidR="00A20674" w:rsidRDefault="00A20674" w:rsidP="00A20674">
      <w:r w:rsidRPr="00A20674">
        <w:t xml:space="preserve">The baseline stock price is projected to be $180. Each scenario, given the resources needed relative to Cracker Barrel’s cash position, has </w:t>
      </w:r>
      <w:r w:rsidR="00AC7B1D">
        <w:t>a positive</w:t>
      </w:r>
      <w:r w:rsidRPr="00A20674">
        <w:t xml:space="preserve"> </w:t>
      </w:r>
      <w:r w:rsidR="00AC7B1D" w:rsidRPr="00A20674">
        <w:t>effect</w:t>
      </w:r>
      <w:r w:rsidRPr="00A20674">
        <w:t xml:space="preserve"> on stock price, even in the worst case. For Projected, best case, and worst case, stock prices are as follows: $181.42, $182.42, $180.09. </w:t>
      </w:r>
    </w:p>
    <w:p w14:paraId="4BA42A2B" w14:textId="77777777" w:rsidR="00A262E9" w:rsidRDefault="00A262E9" w:rsidP="00A20674"/>
    <w:p w14:paraId="23306867" w14:textId="3C151E6C" w:rsidR="00882220" w:rsidRPr="00882220" w:rsidRDefault="00882220" w:rsidP="00882220">
      <w:pPr>
        <w:pStyle w:val="Heading1"/>
        <w:rPr>
          <w:rFonts w:ascii="Times New Roman" w:hAnsi="Times New Roman"/>
          <w:b w:val="0"/>
          <w:iCs/>
          <w:kern w:val="0"/>
          <w:sz w:val="28"/>
          <w:szCs w:val="28"/>
        </w:rPr>
      </w:pPr>
      <w:bookmarkStart w:id="1" w:name="_Toc6770447"/>
      <w:r w:rsidRPr="00882220">
        <w:rPr>
          <w:rFonts w:ascii="Times New Roman" w:hAnsi="Times New Roman"/>
          <w:sz w:val="28"/>
          <w:szCs w:val="28"/>
          <w:u w:val="single"/>
        </w:rPr>
        <w:t>Valuation of Operational Change</w:t>
      </w:r>
      <w:bookmarkEnd w:id="1"/>
      <w:r>
        <w:rPr>
          <w:rFonts w:ascii="Times New Roman" w:hAnsi="Times New Roman"/>
          <w:sz w:val="28"/>
          <w:szCs w:val="28"/>
          <w:u w:val="single"/>
        </w:rPr>
        <w:tab/>
      </w:r>
      <w:r w:rsidRPr="00882220">
        <w:rPr>
          <w:rFonts w:ascii="Times New Roman" w:hAnsi="Times New Roman"/>
          <w:b w:val="0"/>
          <w:iCs/>
          <w:kern w:val="0"/>
          <w:sz w:val="28"/>
          <w:szCs w:val="28"/>
        </w:rPr>
        <w:tab/>
      </w:r>
    </w:p>
    <w:p w14:paraId="43374197" w14:textId="77777777" w:rsidR="001647FE" w:rsidRDefault="001647FE" w:rsidP="001647FE">
      <w:pPr>
        <w:rPr>
          <w:b/>
        </w:rPr>
      </w:pPr>
      <w:bookmarkStart w:id="2" w:name="_Toc6770448"/>
    </w:p>
    <w:p w14:paraId="13220CFD" w14:textId="113CE57C" w:rsidR="00882220" w:rsidRPr="001647FE" w:rsidRDefault="00882220" w:rsidP="001647FE">
      <w:pPr>
        <w:rPr>
          <w:b/>
        </w:rPr>
      </w:pPr>
      <w:r w:rsidRPr="001647FE">
        <w:rPr>
          <w:b/>
        </w:rPr>
        <w:t>Discussion of Assumptions</w:t>
      </w:r>
      <w:bookmarkEnd w:id="2"/>
    </w:p>
    <w:p w14:paraId="1C590A06" w14:textId="77777777" w:rsidR="00882220" w:rsidRDefault="00882220" w:rsidP="00882220"/>
    <w:p w14:paraId="1EE23FEE" w14:textId="77777777" w:rsidR="00882220" w:rsidRDefault="00882220" w:rsidP="00882220">
      <w:pPr>
        <w:rPr>
          <w:rFonts w:ascii="Times New Roman" w:eastAsia="Times New Roman" w:hAnsi="Times New Roman"/>
        </w:rPr>
      </w:pPr>
      <w:r w:rsidRPr="0F295422">
        <w:rPr>
          <w:rFonts w:ascii="Times New Roman" w:eastAsia="Times New Roman" w:hAnsi="Times New Roman"/>
        </w:rPr>
        <w:t>With this operational change, revenue assumptions were based on comparable sales revenues of other quick-service restaurants, such as Panera Bread, Noodles &amp; Co. and Einstein Bagels.  Additionally, the projected sales revenue was cross-checked via discussion with an owner of several Jimmy John’s stores.  Moreover, to estimate guest traffic, the data from MTSU regarding enrolled students were used.  Finally, to estimate the cost of the average guest ticket, MTSU’s Meal Equivalency Requirement was used.  This information led to the following assumptions:</w:t>
      </w:r>
    </w:p>
    <w:p w14:paraId="68BB4654" w14:textId="77777777" w:rsidR="00882220" w:rsidRDefault="00882220" w:rsidP="00882220">
      <w:pPr>
        <w:rPr>
          <w:rFonts w:ascii="Times New Roman" w:eastAsia="Times New Roman" w:hAnsi="Times New Roman"/>
        </w:rPr>
      </w:pPr>
    </w:p>
    <w:p w14:paraId="7385FF8C" w14:textId="77777777" w:rsidR="00882220" w:rsidRDefault="00882220" w:rsidP="00882220">
      <w:pPr>
        <w:pStyle w:val="ListParagraph"/>
        <w:numPr>
          <w:ilvl w:val="0"/>
          <w:numId w:val="1"/>
        </w:numPr>
      </w:pPr>
      <w:r w:rsidRPr="0F295422">
        <w:rPr>
          <w:rFonts w:ascii="Times New Roman" w:eastAsia="Times New Roman" w:hAnsi="Times New Roman"/>
        </w:rPr>
        <w:t>Store revenue estimated at $980,000</w:t>
      </w:r>
    </w:p>
    <w:p w14:paraId="76A98170" w14:textId="77777777" w:rsidR="00882220" w:rsidRDefault="00882220" w:rsidP="00882220">
      <w:pPr>
        <w:pStyle w:val="ListParagraph"/>
        <w:numPr>
          <w:ilvl w:val="0"/>
          <w:numId w:val="1"/>
        </w:numPr>
      </w:pPr>
      <w:r w:rsidRPr="0F295422">
        <w:rPr>
          <w:rFonts w:ascii="Times New Roman" w:eastAsia="Times New Roman" w:hAnsi="Times New Roman"/>
        </w:rPr>
        <w:t>Projected average total guest traffic at 140,000.</w:t>
      </w:r>
    </w:p>
    <w:p w14:paraId="5FD78EF6" w14:textId="77777777" w:rsidR="00882220" w:rsidRDefault="00882220" w:rsidP="00882220">
      <w:pPr>
        <w:pStyle w:val="ListParagraph"/>
        <w:numPr>
          <w:ilvl w:val="0"/>
          <w:numId w:val="1"/>
        </w:numPr>
      </w:pPr>
      <w:r w:rsidRPr="0F295422">
        <w:rPr>
          <w:rFonts w:ascii="Times New Roman" w:eastAsia="Times New Roman" w:hAnsi="Times New Roman"/>
        </w:rPr>
        <w:t>The average guest ticket cost at $7.</w:t>
      </w:r>
    </w:p>
    <w:p w14:paraId="6B945525" w14:textId="77777777" w:rsidR="00882220" w:rsidRDefault="00882220" w:rsidP="00882220"/>
    <w:p w14:paraId="34936E38" w14:textId="77777777" w:rsidR="00882220" w:rsidRPr="0077634C" w:rsidRDefault="00882220" w:rsidP="00882220">
      <w:pPr>
        <w:rPr>
          <w:rFonts w:ascii="Times New Roman" w:hAnsi="Times New Roman"/>
          <w:b/>
          <w:bCs/>
          <w:i/>
          <w:iCs/>
        </w:rPr>
      </w:pPr>
      <w:r w:rsidRPr="0077634C">
        <w:rPr>
          <w:rFonts w:ascii="Times New Roman" w:hAnsi="Times New Roman"/>
        </w:rPr>
        <w:t xml:space="preserve">Estimates for Labor Costs (34.8%), SG&amp;A (4.7%), and COGs (25.7%) were based on information contained in CBRL’s 10K.  Moreover, D&amp;A was based on CBRL’s D&amp;A policy of 2-10-year straight line or double declining for restaurant equipment.  CBRL’s CFO, Jill Golder, provided estimates of start-up costs for express stores of $215,000, which was </w:t>
      </w:r>
      <w:r w:rsidRPr="0077634C">
        <w:rPr>
          <w:rFonts w:ascii="Times New Roman" w:hAnsi="Times New Roman"/>
        </w:rPr>
        <w:lastRenderedPageBreak/>
        <w:t xml:space="preserve">supplemented with research on start-up costs for fast-casual locations with minimum build out. Additionally, discussions with a head of services and dining at nearby University provided estimates of the commission fees that a university would likely obtain from a restaurant on campus, which led to a percentage estimate of 12.5%. </w:t>
      </w:r>
    </w:p>
    <w:p w14:paraId="16F824E6" w14:textId="77777777" w:rsidR="00882220" w:rsidRDefault="00882220" w:rsidP="00882220">
      <w:pPr>
        <w:rPr>
          <w:rFonts w:ascii="Times New Roman" w:eastAsia="Times New Roman" w:hAnsi="Times New Roman"/>
        </w:rPr>
      </w:pPr>
    </w:p>
    <w:p w14:paraId="48AC5B21" w14:textId="77777777" w:rsidR="00882220" w:rsidRDefault="00882220" w:rsidP="00882220">
      <w:pPr>
        <w:rPr>
          <w:rFonts w:ascii="Times New Roman" w:eastAsia="Times New Roman" w:hAnsi="Times New Roman"/>
        </w:rPr>
      </w:pPr>
      <w:r w:rsidRPr="3C86D4FC">
        <w:rPr>
          <w:rFonts w:ascii="Times New Roman" w:eastAsia="Times New Roman" w:hAnsi="Times New Roman"/>
        </w:rPr>
        <w:t xml:space="preserve">Finally, information regarding initial start-up costs from Jill Golder, as well as accounting software for restaurant calculations, and other research assisted in creating the estimate for the CAPEX of a new location.  CAPEX involves obtaining kitchen and cooking equipment, initial inventory and supplies, training, insurance, and some office equipment.  </w:t>
      </w:r>
    </w:p>
    <w:p w14:paraId="519D5E12" w14:textId="77777777" w:rsidR="00882220" w:rsidRDefault="00882220" w:rsidP="00A20674"/>
    <w:p w14:paraId="1D2EB05C" w14:textId="77777777" w:rsidR="00882220" w:rsidRDefault="00882220" w:rsidP="00A20674"/>
    <w:p w14:paraId="73F2A19D" w14:textId="27EA6BCD" w:rsidR="00A262E9" w:rsidRPr="00A262E9" w:rsidRDefault="00A262E9" w:rsidP="00A20674">
      <w:pPr>
        <w:rPr>
          <w:b/>
        </w:rPr>
      </w:pPr>
      <w:r w:rsidRPr="00A262E9">
        <w:rPr>
          <w:b/>
        </w:rPr>
        <w:t>Pro forma assumptions follow:</w:t>
      </w:r>
    </w:p>
    <w:p w14:paraId="53697DE3" w14:textId="77777777" w:rsidR="00A84F70" w:rsidRDefault="00A84F70" w:rsidP="00A20674"/>
    <w:tbl>
      <w:tblPr>
        <w:tblW w:w="9365" w:type="dxa"/>
        <w:tblInd w:w="103" w:type="dxa"/>
        <w:tblLook w:val="04A0" w:firstRow="1" w:lastRow="0" w:firstColumn="1" w:lastColumn="0" w:noHBand="0" w:noVBand="1"/>
      </w:tblPr>
      <w:tblGrid>
        <w:gridCol w:w="3605"/>
        <w:gridCol w:w="1350"/>
        <w:gridCol w:w="4410"/>
      </w:tblGrid>
      <w:tr w:rsidR="00A84F70" w:rsidRPr="00A84F70" w14:paraId="2AA2E679" w14:textId="77777777" w:rsidTr="004A13E9">
        <w:trPr>
          <w:trHeight w:val="204"/>
        </w:trPr>
        <w:tc>
          <w:tcPr>
            <w:tcW w:w="3605"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5136A501" w14:textId="77777777" w:rsidR="00A84F70" w:rsidRPr="00A84F70" w:rsidRDefault="00A84F70" w:rsidP="00A84F70">
            <w:pPr>
              <w:spacing w:line="240" w:lineRule="auto"/>
              <w:rPr>
                <w:rFonts w:ascii="Arial" w:eastAsia="Times New Roman" w:hAnsi="Arial" w:cs="Arial"/>
                <w:b/>
                <w:bCs/>
                <w:sz w:val="16"/>
                <w:szCs w:val="16"/>
              </w:rPr>
            </w:pPr>
            <w:r w:rsidRPr="00A84F70">
              <w:rPr>
                <w:rFonts w:ascii="Arial" w:eastAsia="Times New Roman" w:hAnsi="Arial" w:cs="Arial"/>
                <w:b/>
                <w:bCs/>
                <w:sz w:val="16"/>
                <w:szCs w:val="16"/>
              </w:rPr>
              <w:t>Sales Revenue Scenario</w:t>
            </w:r>
          </w:p>
        </w:tc>
        <w:tc>
          <w:tcPr>
            <w:tcW w:w="1350" w:type="dxa"/>
            <w:tcBorders>
              <w:top w:val="single" w:sz="4" w:space="0" w:color="auto"/>
              <w:left w:val="nil"/>
              <w:bottom w:val="single" w:sz="4" w:space="0" w:color="auto"/>
              <w:right w:val="single" w:sz="4" w:space="0" w:color="auto"/>
            </w:tcBorders>
            <w:shd w:val="clear" w:color="000000" w:fill="BDD7EE"/>
            <w:noWrap/>
            <w:vAlign w:val="bottom"/>
            <w:hideMark/>
          </w:tcPr>
          <w:p w14:paraId="3864F579" w14:textId="77777777" w:rsidR="00A84F70" w:rsidRPr="00A84F70" w:rsidRDefault="00A84F70" w:rsidP="00A84F70">
            <w:pPr>
              <w:spacing w:line="240" w:lineRule="auto"/>
              <w:rPr>
                <w:rFonts w:ascii="Arial" w:eastAsia="Times New Roman" w:hAnsi="Arial" w:cs="Arial"/>
                <w:b/>
                <w:bCs/>
                <w:sz w:val="16"/>
                <w:szCs w:val="16"/>
              </w:rPr>
            </w:pPr>
            <w:r w:rsidRPr="00A84F70">
              <w:rPr>
                <w:rFonts w:ascii="Arial" w:eastAsia="Times New Roman" w:hAnsi="Arial" w:cs="Arial"/>
                <w:b/>
                <w:bCs/>
                <w:sz w:val="16"/>
                <w:szCs w:val="16"/>
              </w:rPr>
              <w:t>Estimate</w:t>
            </w:r>
          </w:p>
        </w:tc>
        <w:tc>
          <w:tcPr>
            <w:tcW w:w="4410" w:type="dxa"/>
            <w:tcBorders>
              <w:top w:val="single" w:sz="4" w:space="0" w:color="auto"/>
              <w:left w:val="nil"/>
              <w:bottom w:val="single" w:sz="4" w:space="0" w:color="auto"/>
              <w:right w:val="single" w:sz="4" w:space="0" w:color="auto"/>
            </w:tcBorders>
            <w:shd w:val="clear" w:color="000000" w:fill="BDD7EE"/>
            <w:noWrap/>
            <w:vAlign w:val="bottom"/>
            <w:hideMark/>
          </w:tcPr>
          <w:p w14:paraId="142A0232" w14:textId="77777777" w:rsidR="00A84F70" w:rsidRPr="00A84F70" w:rsidRDefault="00A84F70" w:rsidP="00A84F70">
            <w:pPr>
              <w:spacing w:line="240" w:lineRule="auto"/>
              <w:rPr>
                <w:rFonts w:ascii="Arial" w:eastAsia="Times New Roman" w:hAnsi="Arial" w:cs="Arial"/>
                <w:b/>
                <w:bCs/>
                <w:sz w:val="16"/>
                <w:szCs w:val="16"/>
              </w:rPr>
            </w:pPr>
            <w:r w:rsidRPr="00A84F70">
              <w:rPr>
                <w:rFonts w:ascii="Arial" w:eastAsia="Times New Roman" w:hAnsi="Arial" w:cs="Arial"/>
                <w:b/>
                <w:bCs/>
                <w:sz w:val="16"/>
                <w:szCs w:val="16"/>
              </w:rPr>
              <w:t>Notes</w:t>
            </w:r>
          </w:p>
        </w:tc>
      </w:tr>
      <w:tr w:rsidR="00A84F70" w:rsidRPr="00A84F70" w14:paraId="594B9F20" w14:textId="77777777" w:rsidTr="004A13E9">
        <w:trPr>
          <w:trHeight w:val="1032"/>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46706D2C"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Projected - Average # Express Guests</w:t>
            </w:r>
          </w:p>
        </w:tc>
        <w:tc>
          <w:tcPr>
            <w:tcW w:w="1350" w:type="dxa"/>
            <w:tcBorders>
              <w:top w:val="nil"/>
              <w:left w:val="nil"/>
              <w:bottom w:val="single" w:sz="4" w:space="0" w:color="auto"/>
              <w:right w:val="single" w:sz="4" w:space="0" w:color="auto"/>
            </w:tcBorders>
            <w:shd w:val="clear" w:color="auto" w:fill="auto"/>
            <w:noWrap/>
            <w:vAlign w:val="bottom"/>
            <w:hideMark/>
          </w:tcPr>
          <w:p w14:paraId="62191A2F"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140000</w:t>
            </w:r>
          </w:p>
        </w:tc>
        <w:tc>
          <w:tcPr>
            <w:tcW w:w="4410" w:type="dxa"/>
            <w:tcBorders>
              <w:top w:val="nil"/>
              <w:left w:val="nil"/>
              <w:bottom w:val="single" w:sz="4" w:space="0" w:color="auto"/>
              <w:right w:val="single" w:sz="4" w:space="0" w:color="auto"/>
            </w:tcBorders>
            <w:shd w:val="clear" w:color="auto" w:fill="auto"/>
            <w:vAlign w:val="bottom"/>
            <w:hideMark/>
          </w:tcPr>
          <w:p w14:paraId="780E57CF" w14:textId="4338688F"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 xml:space="preserve"> - Estimate based on student traffic and number living on campus - projected </w:t>
            </w:r>
            <w:r w:rsidR="00FF1B11">
              <w:rPr>
                <w:rFonts w:ascii="Arial" w:eastAsia="Times New Roman" w:hAnsi="Arial" w:cs="Arial"/>
                <w:sz w:val="16"/>
                <w:szCs w:val="16"/>
              </w:rPr>
              <w:t xml:space="preserve">is an average of best and worst </w:t>
            </w:r>
            <w:r w:rsidRPr="00A84F70">
              <w:rPr>
                <w:rFonts w:ascii="Arial" w:eastAsia="Times New Roman" w:hAnsi="Arial" w:cs="Arial"/>
                <w:sz w:val="16"/>
                <w:szCs w:val="16"/>
              </w:rPr>
              <w:t xml:space="preserve">case. </w:t>
            </w:r>
            <w:r w:rsidRPr="00A84F70">
              <w:rPr>
                <w:rFonts w:ascii="Arial" w:eastAsia="Times New Roman" w:hAnsi="Arial" w:cs="Arial"/>
                <w:b/>
                <w:bCs/>
                <w:sz w:val="16"/>
                <w:szCs w:val="16"/>
              </w:rPr>
              <w:t>Pending guest traffic cross-check from Rachel Hunter, Student Union Marketing Director</w:t>
            </w:r>
            <w:r w:rsidRPr="00A84F70">
              <w:rPr>
                <w:rFonts w:ascii="Arial" w:eastAsia="Times New Roman" w:hAnsi="Arial" w:cs="Arial"/>
                <w:sz w:val="16"/>
                <w:szCs w:val="16"/>
              </w:rPr>
              <w:t xml:space="preserve"> - there are some legal concerns with her giving us the information</w:t>
            </w:r>
          </w:p>
        </w:tc>
      </w:tr>
      <w:tr w:rsidR="00A84F70" w:rsidRPr="00A84F70" w14:paraId="6C4D6683" w14:textId="77777777" w:rsidTr="004A13E9">
        <w:trPr>
          <w:trHeight w:val="264"/>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4524834A"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Express store average guest check</w:t>
            </w:r>
          </w:p>
        </w:tc>
        <w:tc>
          <w:tcPr>
            <w:tcW w:w="1350" w:type="dxa"/>
            <w:tcBorders>
              <w:top w:val="nil"/>
              <w:left w:val="nil"/>
              <w:bottom w:val="single" w:sz="4" w:space="0" w:color="auto"/>
              <w:right w:val="single" w:sz="4" w:space="0" w:color="auto"/>
            </w:tcBorders>
            <w:shd w:val="clear" w:color="auto" w:fill="auto"/>
            <w:noWrap/>
            <w:vAlign w:val="bottom"/>
            <w:hideMark/>
          </w:tcPr>
          <w:p w14:paraId="24CD809B"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 xml:space="preserve"> $                 7 </w:t>
            </w:r>
          </w:p>
        </w:tc>
        <w:tc>
          <w:tcPr>
            <w:tcW w:w="4410" w:type="dxa"/>
            <w:tcBorders>
              <w:top w:val="nil"/>
              <w:left w:val="nil"/>
              <w:bottom w:val="single" w:sz="4" w:space="0" w:color="auto"/>
              <w:right w:val="single" w:sz="4" w:space="0" w:color="auto"/>
            </w:tcBorders>
            <w:shd w:val="clear" w:color="auto" w:fill="auto"/>
            <w:vAlign w:val="bottom"/>
            <w:hideMark/>
          </w:tcPr>
          <w:p w14:paraId="7ACB8229"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MTSU 2019 Meal Equivalency Requirement</w:t>
            </w:r>
          </w:p>
        </w:tc>
      </w:tr>
      <w:tr w:rsidR="00A84F70" w:rsidRPr="00A84F70" w14:paraId="72DE9466" w14:textId="77777777" w:rsidTr="00B02B06">
        <w:trPr>
          <w:trHeight w:val="755"/>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7062A6F3"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Projected Express Store Sales Revenue</w:t>
            </w:r>
          </w:p>
        </w:tc>
        <w:tc>
          <w:tcPr>
            <w:tcW w:w="1350" w:type="dxa"/>
            <w:tcBorders>
              <w:top w:val="nil"/>
              <w:left w:val="nil"/>
              <w:bottom w:val="single" w:sz="4" w:space="0" w:color="auto"/>
              <w:right w:val="single" w:sz="4" w:space="0" w:color="auto"/>
            </w:tcBorders>
            <w:shd w:val="clear" w:color="auto" w:fill="auto"/>
            <w:noWrap/>
            <w:vAlign w:val="bottom"/>
            <w:hideMark/>
          </w:tcPr>
          <w:p w14:paraId="13AB9FC2"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 xml:space="preserve"> $       980,000 </w:t>
            </w:r>
          </w:p>
        </w:tc>
        <w:tc>
          <w:tcPr>
            <w:tcW w:w="4410" w:type="dxa"/>
            <w:tcBorders>
              <w:top w:val="nil"/>
              <w:left w:val="nil"/>
              <w:bottom w:val="single" w:sz="4" w:space="0" w:color="auto"/>
              <w:right w:val="single" w:sz="4" w:space="0" w:color="auto"/>
            </w:tcBorders>
            <w:shd w:val="clear" w:color="auto" w:fill="auto"/>
            <w:vAlign w:val="bottom"/>
            <w:hideMark/>
          </w:tcPr>
          <w:p w14:paraId="3A1C831C"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 xml:space="preserve">cross checked with reported comparable store revenues for Panera Bread, Noodles &amp; Co., and Einstein's Bagels. Further cross checked with a business owner contact, John Parcells, who owns 3 Jimmy John's stores. </w:t>
            </w:r>
          </w:p>
        </w:tc>
      </w:tr>
      <w:tr w:rsidR="00A84F70" w:rsidRPr="00A84F70" w14:paraId="6B3A00C0" w14:textId="77777777" w:rsidTr="00647A2E">
        <w:trPr>
          <w:trHeight w:val="58"/>
        </w:trPr>
        <w:tc>
          <w:tcPr>
            <w:tcW w:w="3605" w:type="dxa"/>
            <w:tcBorders>
              <w:top w:val="nil"/>
              <w:left w:val="nil"/>
              <w:bottom w:val="nil"/>
              <w:right w:val="nil"/>
            </w:tcBorders>
            <w:shd w:val="clear" w:color="auto" w:fill="auto"/>
            <w:noWrap/>
            <w:vAlign w:val="bottom"/>
            <w:hideMark/>
          </w:tcPr>
          <w:p w14:paraId="0E133634" w14:textId="77777777" w:rsidR="00A84F70" w:rsidRPr="00A84F70" w:rsidRDefault="00A84F70" w:rsidP="00A84F70">
            <w:pPr>
              <w:spacing w:line="240" w:lineRule="auto"/>
              <w:rPr>
                <w:rFonts w:ascii="Arial" w:eastAsia="Times New Roman" w:hAnsi="Arial" w:cs="Arial"/>
                <w:sz w:val="4"/>
                <w:szCs w:val="4"/>
              </w:rPr>
            </w:pPr>
          </w:p>
        </w:tc>
        <w:tc>
          <w:tcPr>
            <w:tcW w:w="1350" w:type="dxa"/>
            <w:tcBorders>
              <w:top w:val="nil"/>
              <w:left w:val="nil"/>
              <w:bottom w:val="nil"/>
              <w:right w:val="nil"/>
            </w:tcBorders>
            <w:shd w:val="clear" w:color="auto" w:fill="auto"/>
            <w:noWrap/>
            <w:vAlign w:val="bottom"/>
            <w:hideMark/>
          </w:tcPr>
          <w:p w14:paraId="12133240" w14:textId="77777777" w:rsidR="00A84F70" w:rsidRPr="00A84F70" w:rsidRDefault="00A84F70" w:rsidP="004A13E9">
            <w:pPr>
              <w:spacing w:line="240" w:lineRule="auto"/>
              <w:jc w:val="right"/>
              <w:rPr>
                <w:rFonts w:ascii="Arial" w:eastAsia="Times New Roman" w:hAnsi="Arial" w:cs="Arial"/>
                <w:sz w:val="4"/>
                <w:szCs w:val="4"/>
              </w:rPr>
            </w:pPr>
          </w:p>
        </w:tc>
        <w:tc>
          <w:tcPr>
            <w:tcW w:w="4410" w:type="dxa"/>
            <w:tcBorders>
              <w:top w:val="nil"/>
              <w:left w:val="nil"/>
              <w:bottom w:val="nil"/>
              <w:right w:val="nil"/>
            </w:tcBorders>
            <w:shd w:val="clear" w:color="auto" w:fill="auto"/>
            <w:noWrap/>
            <w:vAlign w:val="bottom"/>
            <w:hideMark/>
          </w:tcPr>
          <w:p w14:paraId="057B6E10" w14:textId="77777777" w:rsidR="00A84F70" w:rsidRPr="00A84F70" w:rsidRDefault="00A84F70" w:rsidP="00A84F70">
            <w:pPr>
              <w:spacing w:line="240" w:lineRule="auto"/>
              <w:rPr>
                <w:rFonts w:ascii="Arial" w:eastAsia="Times New Roman" w:hAnsi="Arial" w:cs="Arial"/>
                <w:sz w:val="4"/>
                <w:szCs w:val="4"/>
              </w:rPr>
            </w:pPr>
          </w:p>
        </w:tc>
      </w:tr>
      <w:tr w:rsidR="00A84F70" w:rsidRPr="00A84F70" w14:paraId="2321D5E3" w14:textId="77777777" w:rsidTr="00647A2E">
        <w:trPr>
          <w:trHeight w:val="116"/>
        </w:trPr>
        <w:tc>
          <w:tcPr>
            <w:tcW w:w="3605" w:type="dxa"/>
            <w:tcBorders>
              <w:top w:val="nil"/>
              <w:left w:val="nil"/>
              <w:bottom w:val="nil"/>
              <w:right w:val="nil"/>
            </w:tcBorders>
            <w:shd w:val="clear" w:color="auto" w:fill="auto"/>
            <w:noWrap/>
            <w:vAlign w:val="bottom"/>
            <w:hideMark/>
          </w:tcPr>
          <w:p w14:paraId="1513713B" w14:textId="77777777" w:rsidR="00A84F70" w:rsidRPr="00A84F70" w:rsidRDefault="00A84F70" w:rsidP="00A84F70">
            <w:pPr>
              <w:spacing w:line="240" w:lineRule="auto"/>
              <w:rPr>
                <w:rFonts w:ascii="Arial" w:eastAsia="Times New Roman" w:hAnsi="Arial" w:cs="Arial"/>
                <w:sz w:val="4"/>
                <w:szCs w:val="4"/>
              </w:rPr>
            </w:pPr>
          </w:p>
        </w:tc>
        <w:tc>
          <w:tcPr>
            <w:tcW w:w="1350" w:type="dxa"/>
            <w:tcBorders>
              <w:top w:val="nil"/>
              <w:left w:val="nil"/>
              <w:bottom w:val="nil"/>
              <w:right w:val="nil"/>
            </w:tcBorders>
            <w:shd w:val="clear" w:color="auto" w:fill="auto"/>
            <w:noWrap/>
            <w:vAlign w:val="bottom"/>
            <w:hideMark/>
          </w:tcPr>
          <w:p w14:paraId="25EBA5C6" w14:textId="77777777" w:rsidR="00A84F70" w:rsidRPr="00A84F70" w:rsidRDefault="00A84F70" w:rsidP="004A13E9">
            <w:pPr>
              <w:spacing w:line="240" w:lineRule="auto"/>
              <w:jc w:val="right"/>
              <w:rPr>
                <w:rFonts w:ascii="Arial" w:eastAsia="Times New Roman" w:hAnsi="Arial" w:cs="Arial"/>
                <w:sz w:val="4"/>
                <w:szCs w:val="4"/>
              </w:rPr>
            </w:pPr>
          </w:p>
        </w:tc>
        <w:tc>
          <w:tcPr>
            <w:tcW w:w="4410" w:type="dxa"/>
            <w:tcBorders>
              <w:top w:val="nil"/>
              <w:left w:val="nil"/>
              <w:bottom w:val="nil"/>
              <w:right w:val="nil"/>
            </w:tcBorders>
            <w:shd w:val="clear" w:color="auto" w:fill="auto"/>
            <w:noWrap/>
            <w:vAlign w:val="bottom"/>
            <w:hideMark/>
          </w:tcPr>
          <w:p w14:paraId="5C437665" w14:textId="77777777" w:rsidR="00A84F70" w:rsidRPr="00A84F70" w:rsidRDefault="00A84F70" w:rsidP="00A84F70">
            <w:pPr>
              <w:spacing w:line="240" w:lineRule="auto"/>
              <w:rPr>
                <w:rFonts w:ascii="Arial" w:eastAsia="Times New Roman" w:hAnsi="Arial" w:cs="Arial"/>
                <w:sz w:val="4"/>
                <w:szCs w:val="4"/>
              </w:rPr>
            </w:pPr>
          </w:p>
        </w:tc>
      </w:tr>
      <w:tr w:rsidR="00A84F70" w:rsidRPr="00A84F70" w14:paraId="27F046DA" w14:textId="77777777" w:rsidTr="004A13E9">
        <w:trPr>
          <w:trHeight w:val="204"/>
        </w:trPr>
        <w:tc>
          <w:tcPr>
            <w:tcW w:w="3605" w:type="dxa"/>
            <w:tcBorders>
              <w:top w:val="single" w:sz="4" w:space="0" w:color="auto"/>
              <w:left w:val="single" w:sz="4" w:space="0" w:color="auto"/>
              <w:bottom w:val="single" w:sz="4" w:space="0" w:color="auto"/>
              <w:right w:val="single" w:sz="4" w:space="0" w:color="auto"/>
            </w:tcBorders>
            <w:shd w:val="clear" w:color="000000" w:fill="BDD7EE"/>
            <w:noWrap/>
            <w:vAlign w:val="bottom"/>
            <w:hideMark/>
          </w:tcPr>
          <w:p w14:paraId="64172D18" w14:textId="77777777" w:rsidR="00A84F70" w:rsidRPr="00A84F70" w:rsidRDefault="00A84F70" w:rsidP="00A84F70">
            <w:pPr>
              <w:spacing w:line="240" w:lineRule="auto"/>
              <w:rPr>
                <w:rFonts w:ascii="Arial" w:eastAsia="Times New Roman" w:hAnsi="Arial" w:cs="Arial"/>
                <w:b/>
                <w:bCs/>
                <w:sz w:val="16"/>
                <w:szCs w:val="16"/>
              </w:rPr>
            </w:pPr>
            <w:r w:rsidRPr="00A84F70">
              <w:rPr>
                <w:rFonts w:ascii="Arial" w:eastAsia="Times New Roman" w:hAnsi="Arial" w:cs="Arial"/>
                <w:b/>
                <w:bCs/>
                <w:sz w:val="16"/>
                <w:szCs w:val="16"/>
              </w:rPr>
              <w:t>Other Cost Assumptions</w:t>
            </w:r>
          </w:p>
        </w:tc>
        <w:tc>
          <w:tcPr>
            <w:tcW w:w="1350" w:type="dxa"/>
            <w:tcBorders>
              <w:top w:val="single" w:sz="4" w:space="0" w:color="auto"/>
              <w:left w:val="nil"/>
              <w:bottom w:val="single" w:sz="4" w:space="0" w:color="auto"/>
              <w:right w:val="single" w:sz="4" w:space="0" w:color="auto"/>
            </w:tcBorders>
            <w:shd w:val="clear" w:color="000000" w:fill="BDD7EE"/>
            <w:noWrap/>
            <w:vAlign w:val="bottom"/>
            <w:hideMark/>
          </w:tcPr>
          <w:p w14:paraId="6829E46F"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 </w:t>
            </w:r>
          </w:p>
        </w:tc>
        <w:tc>
          <w:tcPr>
            <w:tcW w:w="4410" w:type="dxa"/>
            <w:tcBorders>
              <w:top w:val="single" w:sz="4" w:space="0" w:color="auto"/>
              <w:left w:val="nil"/>
              <w:bottom w:val="single" w:sz="4" w:space="0" w:color="auto"/>
              <w:right w:val="single" w:sz="4" w:space="0" w:color="auto"/>
            </w:tcBorders>
            <w:shd w:val="clear" w:color="000000" w:fill="BDD7EE"/>
            <w:vAlign w:val="bottom"/>
            <w:hideMark/>
          </w:tcPr>
          <w:p w14:paraId="2A2D53B0"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 </w:t>
            </w:r>
          </w:p>
        </w:tc>
      </w:tr>
      <w:tr w:rsidR="00A84F70" w:rsidRPr="00A84F70" w14:paraId="21804C7E" w14:textId="77777777" w:rsidTr="004A13E9">
        <w:trPr>
          <w:trHeight w:val="204"/>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47DAF0B6"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Express Store CAPEX estimate</w:t>
            </w:r>
          </w:p>
        </w:tc>
        <w:tc>
          <w:tcPr>
            <w:tcW w:w="1350" w:type="dxa"/>
            <w:tcBorders>
              <w:top w:val="nil"/>
              <w:left w:val="nil"/>
              <w:bottom w:val="single" w:sz="4" w:space="0" w:color="auto"/>
              <w:right w:val="single" w:sz="4" w:space="0" w:color="auto"/>
            </w:tcBorders>
            <w:shd w:val="clear" w:color="auto" w:fill="auto"/>
            <w:noWrap/>
            <w:vAlign w:val="bottom"/>
            <w:hideMark/>
          </w:tcPr>
          <w:p w14:paraId="355155F4"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 xml:space="preserve"> $       150,000 </w:t>
            </w:r>
          </w:p>
        </w:tc>
        <w:tc>
          <w:tcPr>
            <w:tcW w:w="4410" w:type="dxa"/>
            <w:tcBorders>
              <w:top w:val="nil"/>
              <w:left w:val="nil"/>
              <w:bottom w:val="single" w:sz="4" w:space="0" w:color="auto"/>
              <w:right w:val="single" w:sz="4" w:space="0" w:color="auto"/>
            </w:tcBorders>
            <w:shd w:val="clear" w:color="auto" w:fill="auto"/>
            <w:vAlign w:val="bottom"/>
            <w:hideMark/>
          </w:tcPr>
          <w:p w14:paraId="0C5B3155"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see calculation tab</w:t>
            </w:r>
          </w:p>
        </w:tc>
      </w:tr>
      <w:tr w:rsidR="00A84F70" w:rsidRPr="00A84F70" w14:paraId="2E7FF388" w14:textId="77777777" w:rsidTr="00647A2E">
        <w:trPr>
          <w:trHeight w:val="467"/>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5203439B" w14:textId="68F7EB6B" w:rsidR="00A84F70" w:rsidRPr="00A84F70" w:rsidRDefault="001647FE"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Commission</w:t>
            </w:r>
            <w:r w:rsidR="00A84F70" w:rsidRPr="00A84F70">
              <w:rPr>
                <w:rFonts w:ascii="Arial" w:eastAsia="Times New Roman" w:hAnsi="Arial" w:cs="Arial"/>
                <w:sz w:val="16"/>
                <w:szCs w:val="16"/>
              </w:rPr>
              <w:t xml:space="preserve"> Fees to school</w:t>
            </w:r>
          </w:p>
        </w:tc>
        <w:tc>
          <w:tcPr>
            <w:tcW w:w="1350" w:type="dxa"/>
            <w:tcBorders>
              <w:top w:val="nil"/>
              <w:left w:val="nil"/>
              <w:bottom w:val="single" w:sz="4" w:space="0" w:color="auto"/>
              <w:right w:val="single" w:sz="4" w:space="0" w:color="auto"/>
            </w:tcBorders>
            <w:shd w:val="clear" w:color="auto" w:fill="auto"/>
            <w:noWrap/>
            <w:vAlign w:val="bottom"/>
            <w:hideMark/>
          </w:tcPr>
          <w:p w14:paraId="6245763C"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12.50%</w:t>
            </w:r>
          </w:p>
        </w:tc>
        <w:tc>
          <w:tcPr>
            <w:tcW w:w="4410" w:type="dxa"/>
            <w:tcBorders>
              <w:top w:val="nil"/>
              <w:left w:val="nil"/>
              <w:bottom w:val="single" w:sz="4" w:space="0" w:color="auto"/>
              <w:right w:val="single" w:sz="4" w:space="0" w:color="auto"/>
            </w:tcBorders>
            <w:shd w:val="clear" w:color="auto" w:fill="auto"/>
            <w:vAlign w:val="bottom"/>
            <w:hideMark/>
          </w:tcPr>
          <w:p w14:paraId="1DD5CF57"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 xml:space="preserve">Belmont contact - Keith Chapman - head of </w:t>
            </w:r>
            <w:proofErr w:type="spellStart"/>
            <w:r w:rsidRPr="00A84F70">
              <w:rPr>
                <w:rFonts w:ascii="Arial" w:eastAsia="Times New Roman" w:hAnsi="Arial" w:cs="Arial"/>
                <w:sz w:val="16"/>
                <w:szCs w:val="16"/>
              </w:rPr>
              <w:t>Auxillary</w:t>
            </w:r>
            <w:proofErr w:type="spellEnd"/>
            <w:r w:rsidRPr="00A84F70">
              <w:rPr>
                <w:rFonts w:ascii="Arial" w:eastAsia="Times New Roman" w:hAnsi="Arial" w:cs="Arial"/>
                <w:sz w:val="16"/>
                <w:szCs w:val="16"/>
              </w:rPr>
              <w:t xml:space="preserve"> Services and Dining</w:t>
            </w:r>
          </w:p>
        </w:tc>
      </w:tr>
      <w:tr w:rsidR="00A84F70" w:rsidRPr="00A84F70" w14:paraId="466955B0" w14:textId="77777777" w:rsidTr="00647A2E">
        <w:trPr>
          <w:trHeight w:val="431"/>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7DAE6159"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SG&amp;A</w:t>
            </w:r>
          </w:p>
        </w:tc>
        <w:tc>
          <w:tcPr>
            <w:tcW w:w="1350" w:type="dxa"/>
            <w:tcBorders>
              <w:top w:val="nil"/>
              <w:left w:val="nil"/>
              <w:bottom w:val="single" w:sz="4" w:space="0" w:color="auto"/>
              <w:right w:val="single" w:sz="4" w:space="0" w:color="auto"/>
            </w:tcBorders>
            <w:shd w:val="clear" w:color="auto" w:fill="auto"/>
            <w:noWrap/>
            <w:vAlign w:val="bottom"/>
            <w:hideMark/>
          </w:tcPr>
          <w:p w14:paraId="25D99556"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4.70%</w:t>
            </w:r>
          </w:p>
        </w:tc>
        <w:tc>
          <w:tcPr>
            <w:tcW w:w="4410" w:type="dxa"/>
            <w:tcBorders>
              <w:top w:val="nil"/>
              <w:left w:val="nil"/>
              <w:bottom w:val="single" w:sz="4" w:space="0" w:color="auto"/>
              <w:right w:val="single" w:sz="4" w:space="0" w:color="auto"/>
            </w:tcBorders>
            <w:shd w:val="clear" w:color="auto" w:fill="auto"/>
            <w:vAlign w:val="bottom"/>
            <w:hideMark/>
          </w:tcPr>
          <w:p w14:paraId="2742BD6A"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 xml:space="preserve">Cracker Barrel 10-K page. 26. This is net of lease and depreciation costs. </w:t>
            </w:r>
          </w:p>
        </w:tc>
      </w:tr>
      <w:tr w:rsidR="00A84F70" w:rsidRPr="00A84F70" w14:paraId="4A77073D" w14:textId="77777777" w:rsidTr="004A13E9">
        <w:trPr>
          <w:trHeight w:val="612"/>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52091408"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Growth Assumption</w:t>
            </w:r>
          </w:p>
        </w:tc>
        <w:tc>
          <w:tcPr>
            <w:tcW w:w="1350" w:type="dxa"/>
            <w:tcBorders>
              <w:top w:val="nil"/>
              <w:left w:val="nil"/>
              <w:bottom w:val="single" w:sz="4" w:space="0" w:color="auto"/>
              <w:right w:val="single" w:sz="4" w:space="0" w:color="auto"/>
            </w:tcBorders>
            <w:shd w:val="clear" w:color="auto" w:fill="auto"/>
            <w:noWrap/>
            <w:vAlign w:val="bottom"/>
            <w:hideMark/>
          </w:tcPr>
          <w:p w14:paraId="4152619B"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2.50%</w:t>
            </w:r>
          </w:p>
        </w:tc>
        <w:tc>
          <w:tcPr>
            <w:tcW w:w="4410" w:type="dxa"/>
            <w:tcBorders>
              <w:top w:val="nil"/>
              <w:left w:val="nil"/>
              <w:bottom w:val="single" w:sz="4" w:space="0" w:color="auto"/>
              <w:right w:val="single" w:sz="4" w:space="0" w:color="auto"/>
            </w:tcBorders>
            <w:shd w:val="clear" w:color="auto" w:fill="auto"/>
            <w:vAlign w:val="bottom"/>
            <w:hideMark/>
          </w:tcPr>
          <w:p w14:paraId="107743F7"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Growth assumption is an average of 5 year pro forma growth estimates for Cracker Barrel baseline revenue. Worst case scenario reflects a decline of 2.5%</w:t>
            </w:r>
          </w:p>
        </w:tc>
      </w:tr>
      <w:tr w:rsidR="00A84F70" w:rsidRPr="00A84F70" w14:paraId="42EFFDA7" w14:textId="77777777" w:rsidTr="004A13E9">
        <w:trPr>
          <w:trHeight w:val="204"/>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535D84F4"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Labor</w:t>
            </w:r>
          </w:p>
        </w:tc>
        <w:tc>
          <w:tcPr>
            <w:tcW w:w="1350" w:type="dxa"/>
            <w:tcBorders>
              <w:top w:val="nil"/>
              <w:left w:val="nil"/>
              <w:bottom w:val="single" w:sz="4" w:space="0" w:color="auto"/>
              <w:right w:val="single" w:sz="4" w:space="0" w:color="auto"/>
            </w:tcBorders>
            <w:shd w:val="clear" w:color="auto" w:fill="auto"/>
            <w:noWrap/>
            <w:vAlign w:val="bottom"/>
            <w:hideMark/>
          </w:tcPr>
          <w:p w14:paraId="45C25DA8"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34.80%</w:t>
            </w:r>
          </w:p>
        </w:tc>
        <w:tc>
          <w:tcPr>
            <w:tcW w:w="4410" w:type="dxa"/>
            <w:tcBorders>
              <w:top w:val="nil"/>
              <w:left w:val="nil"/>
              <w:bottom w:val="single" w:sz="4" w:space="0" w:color="auto"/>
              <w:right w:val="single" w:sz="4" w:space="0" w:color="auto"/>
            </w:tcBorders>
            <w:shd w:val="clear" w:color="auto" w:fill="auto"/>
            <w:vAlign w:val="bottom"/>
            <w:hideMark/>
          </w:tcPr>
          <w:p w14:paraId="4C8FC7C7"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CBRL 10-K Labor cost of 34.8%</w:t>
            </w:r>
          </w:p>
        </w:tc>
      </w:tr>
      <w:tr w:rsidR="00A84F70" w:rsidRPr="00A84F70" w14:paraId="3894F08F" w14:textId="77777777" w:rsidTr="004A13E9">
        <w:trPr>
          <w:trHeight w:val="612"/>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0BE2B9C7"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COGS (food)</w:t>
            </w:r>
          </w:p>
        </w:tc>
        <w:tc>
          <w:tcPr>
            <w:tcW w:w="1350" w:type="dxa"/>
            <w:tcBorders>
              <w:top w:val="nil"/>
              <w:left w:val="nil"/>
              <w:bottom w:val="single" w:sz="4" w:space="0" w:color="auto"/>
              <w:right w:val="single" w:sz="4" w:space="0" w:color="auto"/>
            </w:tcBorders>
            <w:shd w:val="clear" w:color="auto" w:fill="auto"/>
            <w:noWrap/>
            <w:vAlign w:val="bottom"/>
            <w:hideMark/>
          </w:tcPr>
          <w:p w14:paraId="13FDAD0F"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25.70%</w:t>
            </w:r>
          </w:p>
        </w:tc>
        <w:tc>
          <w:tcPr>
            <w:tcW w:w="4410" w:type="dxa"/>
            <w:tcBorders>
              <w:top w:val="nil"/>
              <w:left w:val="nil"/>
              <w:bottom w:val="single" w:sz="4" w:space="0" w:color="auto"/>
              <w:right w:val="single" w:sz="4" w:space="0" w:color="auto"/>
            </w:tcBorders>
            <w:shd w:val="clear" w:color="auto" w:fill="auto"/>
            <w:vAlign w:val="bottom"/>
            <w:hideMark/>
          </w:tcPr>
          <w:p w14:paraId="05E4E0E9"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Cracker Barrel 10-K Restaurant food cost. Pending estimate of individual items based on suppliers and breakdown from Cracker Barrel</w:t>
            </w:r>
          </w:p>
        </w:tc>
      </w:tr>
      <w:tr w:rsidR="00A84F70" w:rsidRPr="00A84F70" w14:paraId="4FDDF94B" w14:textId="77777777" w:rsidTr="004A13E9">
        <w:trPr>
          <w:trHeight w:val="612"/>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44DD7457"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Express store startup costs</w:t>
            </w:r>
          </w:p>
        </w:tc>
        <w:tc>
          <w:tcPr>
            <w:tcW w:w="1350" w:type="dxa"/>
            <w:tcBorders>
              <w:top w:val="nil"/>
              <w:left w:val="nil"/>
              <w:bottom w:val="single" w:sz="4" w:space="0" w:color="auto"/>
              <w:right w:val="single" w:sz="4" w:space="0" w:color="auto"/>
            </w:tcBorders>
            <w:shd w:val="clear" w:color="auto" w:fill="auto"/>
            <w:noWrap/>
            <w:vAlign w:val="bottom"/>
            <w:hideMark/>
          </w:tcPr>
          <w:p w14:paraId="7EC51800"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 xml:space="preserve"> $       215,000 </w:t>
            </w:r>
          </w:p>
        </w:tc>
        <w:tc>
          <w:tcPr>
            <w:tcW w:w="4410" w:type="dxa"/>
            <w:tcBorders>
              <w:top w:val="nil"/>
              <w:left w:val="nil"/>
              <w:bottom w:val="single" w:sz="4" w:space="0" w:color="auto"/>
              <w:right w:val="single" w:sz="4" w:space="0" w:color="auto"/>
            </w:tcBorders>
            <w:shd w:val="clear" w:color="auto" w:fill="auto"/>
            <w:vAlign w:val="bottom"/>
            <w:hideMark/>
          </w:tcPr>
          <w:p w14:paraId="6A36B581" w14:textId="77777777" w:rsidR="00A84F70" w:rsidRPr="00A84F70" w:rsidRDefault="00A84F70" w:rsidP="00A84F70">
            <w:pPr>
              <w:spacing w:line="240" w:lineRule="auto"/>
              <w:rPr>
                <w:rFonts w:ascii="Arial" w:eastAsia="Times New Roman" w:hAnsi="Arial" w:cs="Arial"/>
                <w:sz w:val="16"/>
                <w:szCs w:val="16"/>
              </w:rPr>
            </w:pPr>
            <w:proofErr w:type="spellStart"/>
            <w:r w:rsidRPr="00A84F70">
              <w:rPr>
                <w:rFonts w:ascii="Arial" w:eastAsia="Times New Roman" w:hAnsi="Arial" w:cs="Arial"/>
                <w:sz w:val="16"/>
                <w:szCs w:val="16"/>
              </w:rPr>
              <w:t>Start up</w:t>
            </w:r>
            <w:proofErr w:type="spellEnd"/>
            <w:r w:rsidRPr="00A84F70">
              <w:rPr>
                <w:rFonts w:ascii="Arial" w:eastAsia="Times New Roman" w:hAnsi="Arial" w:cs="Arial"/>
                <w:sz w:val="16"/>
                <w:szCs w:val="16"/>
              </w:rPr>
              <w:t xml:space="preserve"> cost based on low end estimate by Jill Golder, further researched fast casual </w:t>
            </w:r>
            <w:proofErr w:type="spellStart"/>
            <w:r w:rsidRPr="00A84F70">
              <w:rPr>
                <w:rFonts w:ascii="Arial" w:eastAsia="Times New Roman" w:hAnsi="Arial" w:cs="Arial"/>
                <w:sz w:val="16"/>
                <w:szCs w:val="16"/>
              </w:rPr>
              <w:t>start up</w:t>
            </w:r>
            <w:proofErr w:type="spellEnd"/>
            <w:r w:rsidRPr="00A84F70">
              <w:rPr>
                <w:rFonts w:ascii="Arial" w:eastAsia="Times New Roman" w:hAnsi="Arial" w:cs="Arial"/>
                <w:sz w:val="16"/>
                <w:szCs w:val="16"/>
              </w:rPr>
              <w:t xml:space="preserve"> costs with minimum build-out, kitchen only costs. </w:t>
            </w:r>
          </w:p>
        </w:tc>
      </w:tr>
      <w:tr w:rsidR="00A84F70" w:rsidRPr="00A84F70" w14:paraId="20E21BE2" w14:textId="77777777" w:rsidTr="004A13E9">
        <w:trPr>
          <w:trHeight w:val="612"/>
        </w:trPr>
        <w:tc>
          <w:tcPr>
            <w:tcW w:w="3605" w:type="dxa"/>
            <w:tcBorders>
              <w:top w:val="nil"/>
              <w:left w:val="single" w:sz="4" w:space="0" w:color="auto"/>
              <w:bottom w:val="single" w:sz="4" w:space="0" w:color="auto"/>
              <w:right w:val="single" w:sz="4" w:space="0" w:color="auto"/>
            </w:tcBorders>
            <w:shd w:val="clear" w:color="auto" w:fill="auto"/>
            <w:noWrap/>
            <w:vAlign w:val="bottom"/>
            <w:hideMark/>
          </w:tcPr>
          <w:p w14:paraId="11B18D83"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D&amp;A</w:t>
            </w:r>
          </w:p>
        </w:tc>
        <w:tc>
          <w:tcPr>
            <w:tcW w:w="1350" w:type="dxa"/>
            <w:tcBorders>
              <w:top w:val="nil"/>
              <w:left w:val="nil"/>
              <w:bottom w:val="single" w:sz="4" w:space="0" w:color="auto"/>
              <w:right w:val="single" w:sz="4" w:space="0" w:color="auto"/>
            </w:tcBorders>
            <w:shd w:val="clear" w:color="auto" w:fill="auto"/>
            <w:noWrap/>
            <w:vAlign w:val="bottom"/>
            <w:hideMark/>
          </w:tcPr>
          <w:p w14:paraId="638E9734" w14:textId="77777777" w:rsidR="00A84F70" w:rsidRPr="00A84F70" w:rsidRDefault="00A84F70" w:rsidP="004A13E9">
            <w:pPr>
              <w:spacing w:line="240" w:lineRule="auto"/>
              <w:jc w:val="right"/>
              <w:rPr>
                <w:rFonts w:ascii="Arial" w:eastAsia="Times New Roman" w:hAnsi="Arial" w:cs="Arial"/>
                <w:sz w:val="16"/>
                <w:szCs w:val="16"/>
              </w:rPr>
            </w:pPr>
            <w:r w:rsidRPr="00A84F70">
              <w:rPr>
                <w:rFonts w:ascii="Arial" w:eastAsia="Times New Roman" w:hAnsi="Arial" w:cs="Arial"/>
                <w:sz w:val="16"/>
                <w:szCs w:val="16"/>
              </w:rPr>
              <w:t> </w:t>
            </w:r>
          </w:p>
        </w:tc>
        <w:tc>
          <w:tcPr>
            <w:tcW w:w="4410" w:type="dxa"/>
            <w:tcBorders>
              <w:top w:val="nil"/>
              <w:left w:val="nil"/>
              <w:bottom w:val="single" w:sz="4" w:space="0" w:color="auto"/>
              <w:right w:val="single" w:sz="4" w:space="0" w:color="auto"/>
            </w:tcBorders>
            <w:shd w:val="clear" w:color="auto" w:fill="auto"/>
            <w:vAlign w:val="bottom"/>
            <w:hideMark/>
          </w:tcPr>
          <w:p w14:paraId="704BA411" w14:textId="77777777" w:rsidR="00A84F70" w:rsidRPr="00A84F70" w:rsidRDefault="00A84F70" w:rsidP="00A84F70">
            <w:pPr>
              <w:spacing w:line="240" w:lineRule="auto"/>
              <w:rPr>
                <w:rFonts w:ascii="Arial" w:eastAsia="Times New Roman" w:hAnsi="Arial" w:cs="Arial"/>
                <w:sz w:val="16"/>
                <w:szCs w:val="16"/>
              </w:rPr>
            </w:pPr>
            <w:r w:rsidRPr="00A84F70">
              <w:rPr>
                <w:rFonts w:ascii="Arial" w:eastAsia="Times New Roman" w:hAnsi="Arial" w:cs="Arial"/>
                <w:sz w:val="16"/>
                <w:szCs w:val="16"/>
              </w:rPr>
              <w:t>10 year straight line estimate of CAPEX. 2018 Cracker Barrel D&amp;A policy is 2-10 year straight line or double declining for restaurant equipment</w:t>
            </w:r>
          </w:p>
        </w:tc>
      </w:tr>
    </w:tbl>
    <w:p w14:paraId="110F5ADD" w14:textId="77777777" w:rsidR="00A84F70" w:rsidRPr="00A20674" w:rsidRDefault="00A84F70" w:rsidP="00A20674"/>
    <w:p w14:paraId="4973FE1F" w14:textId="77777777" w:rsidR="00C12B57" w:rsidRDefault="00C12B57"/>
    <w:sectPr w:rsidR="00C12B57" w:rsidSect="00AC7B1D">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0F63C" w14:textId="77777777" w:rsidR="00A20674" w:rsidRDefault="00A20674" w:rsidP="00A20674">
      <w:pPr>
        <w:spacing w:line="240" w:lineRule="auto"/>
      </w:pPr>
      <w:r>
        <w:separator/>
      </w:r>
    </w:p>
  </w:endnote>
  <w:endnote w:type="continuationSeparator" w:id="0">
    <w:p w14:paraId="1B3312D9" w14:textId="77777777" w:rsidR="00A20674" w:rsidRDefault="00A20674" w:rsidP="00A20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8186350"/>
      <w:docPartObj>
        <w:docPartGallery w:val="Page Numbers (Bottom of Page)"/>
        <w:docPartUnique/>
      </w:docPartObj>
    </w:sdtPr>
    <w:sdtEndPr>
      <w:rPr>
        <w:noProof/>
      </w:rPr>
    </w:sdtEndPr>
    <w:sdtContent>
      <w:p w14:paraId="1EFA6980" w14:textId="5F95E925" w:rsidR="00A20674" w:rsidRDefault="00A20674">
        <w:pPr>
          <w:pStyle w:val="Footer"/>
          <w:jc w:val="center"/>
        </w:pPr>
        <w:r>
          <w:fldChar w:fldCharType="begin"/>
        </w:r>
        <w:r>
          <w:instrText xml:space="preserve"> PAGE   \* MERGEFORMAT </w:instrText>
        </w:r>
        <w:r>
          <w:fldChar w:fldCharType="separate"/>
        </w:r>
        <w:r w:rsidR="00FF1B11">
          <w:rPr>
            <w:noProof/>
          </w:rPr>
          <w:t>3</w:t>
        </w:r>
        <w:r>
          <w:rPr>
            <w:noProof/>
          </w:rPr>
          <w:fldChar w:fldCharType="end"/>
        </w:r>
      </w:p>
    </w:sdtContent>
  </w:sdt>
  <w:p w14:paraId="61F3D8BB" w14:textId="77777777" w:rsidR="00A20674" w:rsidRDefault="00A206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C83E6" w14:textId="77777777" w:rsidR="00A20674" w:rsidRDefault="00A20674" w:rsidP="00A20674">
      <w:pPr>
        <w:spacing w:line="240" w:lineRule="auto"/>
      </w:pPr>
      <w:r>
        <w:separator/>
      </w:r>
    </w:p>
  </w:footnote>
  <w:footnote w:type="continuationSeparator" w:id="0">
    <w:p w14:paraId="24B6B8F8" w14:textId="77777777" w:rsidR="00A20674" w:rsidRDefault="00A20674" w:rsidP="00A206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858E9"/>
    <w:multiLevelType w:val="hybridMultilevel"/>
    <w:tmpl w:val="6F488CF8"/>
    <w:lvl w:ilvl="0" w:tplc="77A6B8D0">
      <w:start w:val="1"/>
      <w:numFmt w:val="bullet"/>
      <w:lvlText w:val=""/>
      <w:lvlJc w:val="left"/>
      <w:pPr>
        <w:ind w:left="720" w:hanging="360"/>
      </w:pPr>
      <w:rPr>
        <w:rFonts w:ascii="Symbol" w:hAnsi="Symbol" w:hint="default"/>
      </w:rPr>
    </w:lvl>
    <w:lvl w:ilvl="1" w:tplc="8D127EA8">
      <w:start w:val="1"/>
      <w:numFmt w:val="bullet"/>
      <w:lvlText w:val="o"/>
      <w:lvlJc w:val="left"/>
      <w:pPr>
        <w:ind w:left="1440" w:hanging="360"/>
      </w:pPr>
      <w:rPr>
        <w:rFonts w:ascii="Courier New" w:hAnsi="Courier New" w:hint="default"/>
      </w:rPr>
    </w:lvl>
    <w:lvl w:ilvl="2" w:tplc="82D6ECD4">
      <w:start w:val="1"/>
      <w:numFmt w:val="bullet"/>
      <w:lvlText w:val=""/>
      <w:lvlJc w:val="left"/>
      <w:pPr>
        <w:ind w:left="2160" w:hanging="360"/>
      </w:pPr>
      <w:rPr>
        <w:rFonts w:ascii="Wingdings" w:hAnsi="Wingdings" w:hint="default"/>
      </w:rPr>
    </w:lvl>
    <w:lvl w:ilvl="3" w:tplc="26945E06">
      <w:start w:val="1"/>
      <w:numFmt w:val="bullet"/>
      <w:lvlText w:val=""/>
      <w:lvlJc w:val="left"/>
      <w:pPr>
        <w:ind w:left="2880" w:hanging="360"/>
      </w:pPr>
      <w:rPr>
        <w:rFonts w:ascii="Symbol" w:hAnsi="Symbol" w:hint="default"/>
      </w:rPr>
    </w:lvl>
    <w:lvl w:ilvl="4" w:tplc="79762A36">
      <w:start w:val="1"/>
      <w:numFmt w:val="bullet"/>
      <w:lvlText w:val="o"/>
      <w:lvlJc w:val="left"/>
      <w:pPr>
        <w:ind w:left="3600" w:hanging="360"/>
      </w:pPr>
      <w:rPr>
        <w:rFonts w:ascii="Courier New" w:hAnsi="Courier New" w:hint="default"/>
      </w:rPr>
    </w:lvl>
    <w:lvl w:ilvl="5" w:tplc="C78CE80C">
      <w:start w:val="1"/>
      <w:numFmt w:val="bullet"/>
      <w:lvlText w:val=""/>
      <w:lvlJc w:val="left"/>
      <w:pPr>
        <w:ind w:left="4320" w:hanging="360"/>
      </w:pPr>
      <w:rPr>
        <w:rFonts w:ascii="Wingdings" w:hAnsi="Wingdings" w:hint="default"/>
      </w:rPr>
    </w:lvl>
    <w:lvl w:ilvl="6" w:tplc="C4BAA70C">
      <w:start w:val="1"/>
      <w:numFmt w:val="bullet"/>
      <w:lvlText w:val=""/>
      <w:lvlJc w:val="left"/>
      <w:pPr>
        <w:ind w:left="5040" w:hanging="360"/>
      </w:pPr>
      <w:rPr>
        <w:rFonts w:ascii="Symbol" w:hAnsi="Symbol" w:hint="default"/>
      </w:rPr>
    </w:lvl>
    <w:lvl w:ilvl="7" w:tplc="EBB04ABA">
      <w:start w:val="1"/>
      <w:numFmt w:val="bullet"/>
      <w:lvlText w:val="o"/>
      <w:lvlJc w:val="left"/>
      <w:pPr>
        <w:ind w:left="5760" w:hanging="360"/>
      </w:pPr>
      <w:rPr>
        <w:rFonts w:ascii="Courier New" w:hAnsi="Courier New" w:hint="default"/>
      </w:rPr>
    </w:lvl>
    <w:lvl w:ilvl="8" w:tplc="31CA628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674"/>
    <w:rsid w:val="00072216"/>
    <w:rsid w:val="000F16AD"/>
    <w:rsid w:val="001647FE"/>
    <w:rsid w:val="00220F07"/>
    <w:rsid w:val="004A13E9"/>
    <w:rsid w:val="004C07C0"/>
    <w:rsid w:val="00572847"/>
    <w:rsid w:val="00647A2E"/>
    <w:rsid w:val="007C0B0C"/>
    <w:rsid w:val="00882220"/>
    <w:rsid w:val="00A20674"/>
    <w:rsid w:val="00A262E9"/>
    <w:rsid w:val="00A84F70"/>
    <w:rsid w:val="00AC7B1D"/>
    <w:rsid w:val="00B02B06"/>
    <w:rsid w:val="00BC323E"/>
    <w:rsid w:val="00C12B57"/>
    <w:rsid w:val="00CB3259"/>
    <w:rsid w:val="00D05A44"/>
    <w:rsid w:val="00E55FEE"/>
    <w:rsid w:val="00FF1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E752"/>
  <w15:docId w15:val="{A8F7F801-720F-4CDA-856F-703A4BF18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220"/>
    <w:pPr>
      <w:keepNext/>
      <w:spacing w:before="240" w:after="60" w:line="240" w:lineRule="auto"/>
      <w:outlineLvl w:val="0"/>
    </w:pPr>
    <w:rPr>
      <w:rFonts w:asciiTheme="majorHAnsi" w:eastAsiaTheme="majorEastAsia" w:hAnsiTheme="majorHAnsi" w:cs="Times New Roman"/>
      <w:b/>
      <w:bCs/>
      <w:kern w:val="32"/>
      <w:sz w:val="32"/>
      <w:szCs w:val="32"/>
    </w:rPr>
  </w:style>
  <w:style w:type="paragraph" w:styleId="Heading2">
    <w:name w:val="heading 2"/>
    <w:basedOn w:val="Normal"/>
    <w:next w:val="Normal"/>
    <w:link w:val="Heading2Char"/>
    <w:uiPriority w:val="9"/>
    <w:unhideWhenUsed/>
    <w:qFormat/>
    <w:rsid w:val="00882220"/>
    <w:pPr>
      <w:keepNext/>
      <w:spacing w:before="240" w:after="60" w:line="240" w:lineRule="auto"/>
      <w:outlineLvl w:val="1"/>
    </w:pPr>
    <w:rPr>
      <w:rFonts w:asciiTheme="majorHAnsi" w:eastAsiaTheme="majorEastAsia" w:hAnsiTheme="majorHAnsi"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674"/>
    <w:pPr>
      <w:tabs>
        <w:tab w:val="center" w:pos="4680"/>
        <w:tab w:val="right" w:pos="9360"/>
      </w:tabs>
      <w:spacing w:line="240" w:lineRule="auto"/>
    </w:pPr>
  </w:style>
  <w:style w:type="character" w:customStyle="1" w:styleId="HeaderChar">
    <w:name w:val="Header Char"/>
    <w:basedOn w:val="DefaultParagraphFont"/>
    <w:link w:val="Header"/>
    <w:uiPriority w:val="99"/>
    <w:rsid w:val="00A20674"/>
  </w:style>
  <w:style w:type="paragraph" w:styleId="Footer">
    <w:name w:val="footer"/>
    <w:basedOn w:val="Normal"/>
    <w:link w:val="FooterChar"/>
    <w:uiPriority w:val="99"/>
    <w:unhideWhenUsed/>
    <w:rsid w:val="00A20674"/>
    <w:pPr>
      <w:tabs>
        <w:tab w:val="center" w:pos="4680"/>
        <w:tab w:val="right" w:pos="9360"/>
      </w:tabs>
      <w:spacing w:line="240" w:lineRule="auto"/>
    </w:pPr>
  </w:style>
  <w:style w:type="character" w:customStyle="1" w:styleId="FooterChar">
    <w:name w:val="Footer Char"/>
    <w:basedOn w:val="DefaultParagraphFont"/>
    <w:link w:val="Footer"/>
    <w:uiPriority w:val="99"/>
    <w:rsid w:val="00A20674"/>
  </w:style>
  <w:style w:type="character" w:customStyle="1" w:styleId="Heading1Char">
    <w:name w:val="Heading 1 Char"/>
    <w:basedOn w:val="DefaultParagraphFont"/>
    <w:link w:val="Heading1"/>
    <w:uiPriority w:val="9"/>
    <w:rsid w:val="00882220"/>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rsid w:val="00882220"/>
    <w:rPr>
      <w:rFonts w:asciiTheme="majorHAnsi" w:eastAsiaTheme="majorEastAsia" w:hAnsiTheme="majorHAnsi" w:cs="Times New Roman"/>
      <w:b/>
      <w:bCs/>
      <w:i/>
      <w:iCs/>
      <w:sz w:val="28"/>
      <w:szCs w:val="28"/>
    </w:rPr>
  </w:style>
  <w:style w:type="paragraph" w:styleId="ListParagraph">
    <w:name w:val="List Paragraph"/>
    <w:basedOn w:val="Normal"/>
    <w:uiPriority w:val="34"/>
    <w:qFormat/>
    <w:rsid w:val="00882220"/>
    <w:pPr>
      <w:spacing w:line="240" w:lineRule="auto"/>
      <w:ind w:left="720"/>
      <w:contextualSpacing/>
    </w:pPr>
    <w:rPr>
      <w:rFonts w:eastAsiaTheme="minorEastAs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740936">
      <w:bodyDiv w:val="1"/>
      <w:marLeft w:val="0"/>
      <w:marRight w:val="0"/>
      <w:marTop w:val="0"/>
      <w:marBottom w:val="0"/>
      <w:divBdr>
        <w:top w:val="none" w:sz="0" w:space="0" w:color="auto"/>
        <w:left w:val="none" w:sz="0" w:space="0" w:color="auto"/>
        <w:bottom w:val="none" w:sz="0" w:space="0" w:color="auto"/>
        <w:right w:val="none" w:sz="0" w:space="0" w:color="auto"/>
      </w:divBdr>
    </w:div>
    <w:div w:id="1357734493">
      <w:bodyDiv w:val="1"/>
      <w:marLeft w:val="0"/>
      <w:marRight w:val="0"/>
      <w:marTop w:val="0"/>
      <w:marBottom w:val="0"/>
      <w:divBdr>
        <w:top w:val="none" w:sz="0" w:space="0" w:color="auto"/>
        <w:left w:val="none" w:sz="0" w:space="0" w:color="auto"/>
        <w:bottom w:val="none" w:sz="0" w:space="0" w:color="auto"/>
        <w:right w:val="none" w:sz="0" w:space="0" w:color="auto"/>
      </w:divBdr>
    </w:div>
    <w:div w:id="203518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1558</Words>
  <Characters>8883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Nagel</dc:creator>
  <cp:lastModifiedBy>Greg Nagel</cp:lastModifiedBy>
  <cp:revision>3</cp:revision>
  <dcterms:created xsi:type="dcterms:W3CDTF">2020-07-19T17:40:00Z</dcterms:created>
  <dcterms:modified xsi:type="dcterms:W3CDTF">2020-07-19T18:46:00Z</dcterms:modified>
</cp:coreProperties>
</file>